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  <w:rtl w:val="0"/>
        </w:rPr>
        <w:t xml:space="preserve">ANEXO 18: Propuesta de distribución.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ES OBLIGATORIO INCLUIR CADA UNO DE LOS PUNTOS A CONTINUACIÓN, EN EL ORDEN EN EL QUE SE ENCUENTRAN ENUMERADOS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*Incluya detalladamente la siguiente información para todos los largometrajes a estrenar y distribuir en el año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Títulos a distribuir, debe incluir sinopsis y ficha técnica.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highlight w:val="white"/>
          <w:rtl w:val="0"/>
        </w:rPr>
        <w:t xml:space="preserve">Presentación de estudio de viabilidad comercial de cada película, con los escenarios de estimado de taquilla en 3 variaciones: pesimista, realista, optimista.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Análisis de mercado y públicos.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Análisis de las fortalezas, debilidades, amenazas y oportunidades de la distribución de cada uno de los títulos.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Estrategia de distribución: debe incluir los complejos cinematográficos donde se exhibirán las películas, ciudades, fechas estimadas de estreno y la justificación de la selección de los complejos cinematográficos y territorios elegidos.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Estrategia de promoción: debe incluir las acciones de comunicaciones (prensa, redes sociales, entre otras). Acciones encaminadas a la publicidad y el mercadeo de las películas.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Para cada película debe incluir como mínimo las siguientes piezas de promoción: afiche, y los enlaces y contraseñas para visualizar el tráiler y el </w:t>
      </w:r>
      <w:r w:rsidDel="00000000" w:rsidR="00000000" w:rsidRPr="00000000">
        <w:rPr>
          <w:i w:val="1"/>
          <w:iCs w:val="1"/>
          <w:rtl w:val="0"/>
        </w:rPr>
        <w:t xml:space="preserve">teaser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 Cualquier otra información que considere relevante para ilustrar la iniciativa.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55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righ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FDC 2026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s-ES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r2OUm+X1FUh3MuB5TufRaVc7UA==">CgMxLjA4AHIhMVpZVURFZWJqYnBmSFJJXzVrSUdEYWFVaEZxQmRxTUJQ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